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تشكل رقمنة الإدارة نتيجة حتمية للتطور التكنولوجي المتسارع،</w:t>
      </w:r>
    </w:p>
    <w:p>
      <w:pPr/>
      <w:r>
        <w:rPr>
          <w:shd w:val="clear" w:fill="eeee80"/>
        </w:rPr>
        <w:t xml:space="preserve"> حيث أصبحت الإدارة الإلكترونية خيارًا استراتيجيًا لتحسين أداء المرافق العمومية وتجويد خدماتها.</w:t>
      </w:r>
    </w:p>
    <w:p>
      <w:pPr/>
      <w:r>
        <w:rPr>
          <w:shd w:val="clear" w:fill="eeee80"/>
        </w:rPr>
        <w:t xml:space="preserve"> تعالج الدراسة إشكالية تحقيق التوازن بين متطلبات التحول الرقمي وضمان حماية المعطيات ذات الطابع الشخصي داخل البيئة السيبرانية،</w:t>
      </w:r>
    </w:p>
    <w:p>
      <w:pPr/>
      <w:r>
        <w:rPr>
          <w:shd w:val="clear" w:fill="eeee80"/>
        </w:rPr>
        <w:t xml:space="preserve"> كما تؤكد على أهمية تطوير البنية التحتية الرقمية وتعزيز كفاءة التسيير الإداري لمواكبة متطلبات الحوكمة الحديثة،</w:t>
      </w:r>
    </w:p>
    <w:p>
      <w:pPr/>
      <w:r>
        <w:rPr>
          <w:shd w:val="clear" w:fill="eeee80"/>
        </w:rPr>
        <w:t xml:space="preserve"> حيث تم التركيز على الإطار القانوني و خاصة القانون رقم 18-07 المتعلق بحماية الأشخاص الطبيعيين في مجال معالجة المعطيات ذات الطابع الشخصي،</w:t>
      </w:r>
    </w:p>
    <w:p>
      <w:pPr/>
      <w:r>
        <w:rPr>
          <w:shd w:val="clear" w:fill="eeee80"/>
        </w:rPr>
        <w:t xml:space="preserve"> باعتباره أساسًا قانونيًا لحماية المعطيات الشخصية وتسليط الضوء على الدور المحوري للهيئات الرقابية والتنظيمية،</w:t>
      </w:r>
    </w:p>
    <w:p>
      <w:pPr/>
      <w:r>
        <w:rPr>
          <w:shd w:val="clear" w:fill="eeee80"/>
        </w:rPr>
        <w:t xml:space="preserve"> وعلى رأسها السلطة الوطنية لحماية البيانات الشخصية ووكالة أمن الأنظمة المعلوماتية والمجلس الوطني لحوكمة البيانات،</w:t>
      </w:r>
    </w:p>
    <w:p>
      <w:pPr/>
      <w:r>
        <w:rPr>
          <w:shd w:val="clear" w:fill="eeee80"/>
        </w:rPr>
        <w:t xml:space="preserve"> في مواجهة التهديدات السيبرانية وضمان أمن الأنظمة الرقمية.</w:t>
      </w:r>
    </w:p>
    <w:p>
      <w:pPr/>
      <w:r>
        <w:rPr>
          <w:shd w:val="clear" w:fill="eeee80"/>
        </w:rPr>
        <w:t xml:space="preserve"> وتخلص الدراسة إلى أن نجاح الإدارة الإلكترونية يتطلب تكاملًا بين الجوانب القانونية والمؤسساتية والتقنية ،</w:t>
      </w:r>
    </w:p>
    <w:p>
      <w:pPr/>
      <w:r>
        <w:rPr>
          <w:shd w:val="clear" w:fill="eeee80"/>
        </w:rPr>
        <w:t xml:space="preserve"> مع ضرورة مواءمة التشريعات الوطنية مع المعايير الدولية واعتماد استراتيجيات أمنية فعالة لحماية البيانات الشخصية.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2026-09-16T11:56:07+00:00</dcterms:created>
  <dcterms:modified xsi:type="dcterms:W3CDTF">2026-09-16T11:56:07+00:00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