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‏ ‏ ‏نوع المؤرخون المسلمون التأليف في التاريخ من سير وتراجم،</w:t>
      </w:r>
    </w:p>
    <w:p>
      <w:pPr/>
      <w:r>
        <w:rPr>
          <w:shd w:val="clear" w:fill="eeee80"/>
        </w:rPr>
        <w:t xml:space="preserve"> كما أنهم أول من كتب في فلسفة التاريخ والاجتماع وتاريخ التاريخ،</w:t>
      </w:r>
    </w:p>
    <w:p>
      <w:pPr/>
      <w:r>
        <w:rPr/>
        <w:t xml:space="preserve"> وكانوا في ذلك ملتزمين مبدأ الصدق في القول والنزاهة في الحكم شرطاً لكتابة التاريخ.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2026-09-27T07:02:58+00:00</dcterms:created>
  <dcterms:modified xsi:type="dcterms:W3CDTF">2026-09-27T07:02:58+00:00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