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of new cases and fatalities from gastric cancer continues to riseeach year.</w:t>
      </w:r>
    </w:p>
    <w:p>
      <w:pPr/>
      <w:r>
        <w:rPr>
          <w:shd w:val="clear" w:fill="eeee80"/>
        </w:rPr>
        <w:t xml:space="preserve">Despite its high prevalence, most patients are diagnosedat an advanced stage, resulting in a poor prognosis due to theabsence of clear clinical indicators.</w:t>
      </w:r>
    </w:p>
    <w:p>
      <w:pPr/>
      <w:r>
        <w:rPr/>
        <w:t xml:space="preserve"> However, in recent years, thewidespread use of gastroscopy has led to an increase in the detection of early-stage gastric cancer. Consequently, early detection andtreatment are crucial for improving the prognosis of gastric cancer.During the teaching process, it is essential for students to have athorough understanding of the anatomy of the stomach wall in order to effectively guide gastric endoscopy and surgery based on thestage of the disease.1 Most significantly, it is essential to avoid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2026-08-19T13:03:58+00:00</dcterms:created>
  <dcterms:modified xsi:type="dcterms:W3CDTF">2026-08-19T13:03:58+00:00</dcterms:modified>
</cp:coreProperties>
</file>

<file path=docProps/custom.xml><?xml version="1.0" encoding="utf-8"?>
<Properties xmlns="http://schemas.openxmlformats.org/officeDocument/2006/custom-properties" xmlns:vt="http://schemas.openxmlformats.org/officeDocument/2006/docPropsVTypes"/>
</file>