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نظرية التبعية الإعلامية </w:t>
      </w:r>
    </w:p>
    <w:p>
      <w:pPr/>
      <w:r>
        <w:rPr>
          <w:shd w:val="clear" w:fill="eeee80"/>
        </w:rPr>
        <w:t xml:space="preserve">الأنظمة الإعلامية السائدة في العالم الثالث تحدد على نحو التالي </w:t>
      </w:r>
    </w:p>
    <w:p>
      <w:pPr/>
      <w:r>
        <w:rPr>
          <w:shd w:val="clear" w:fill="eeee80"/>
        </w:rPr>
        <w:t xml:space="preserve">١-النظام إعلامي يقع تحت سيطرة الدولة: في اطار مفهومي التنمية والوحدة الوطنية والرقابة تكون صارمة على الموضوع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2026-10-17T22:32:37+00:00</dcterms:created>
  <dcterms:modified xsi:type="dcterms:W3CDTF">2026-10-17T22:32:37+00:00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