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مراجعة تقارير التدقيق الداخلي الصادرة خلال الفترة</w:t>
      </w:r>
    </w:p>
    <w:p>
      <w:pPr/>
      <w:r>
        <w:rPr>
          <w:shd w:val="clear" w:fill="eeee80"/>
        </w:rPr>
        <w:t xml:space="preserve">سنة؛</w:t>
      </w:r>
    </w:p>
    <w:p>
      <w:pPr/>
      <w:r>
        <w:rPr>
          <w:shd w:val="clear" w:fill="eeee80"/>
        </w:rPr>
        <w:t xml:space="preserve"> مراجعة النشرات الإخبارية التي تنشرها أطراف خارجية؛</w:t>
      </w:r>
    </w:p>
    <w:p>
      <w:pPr/>
      <w:r>
        <w:rPr>
          <w:shd w:val="clear" w:fill="eeee80"/>
        </w:rPr>
        <w:t xml:space="preserve"> و</w:t>
      </w:r>
    </w:p>
    <w:p>
      <w:pPr/>
      <w:r>
        <w:rPr>
          <w:shd w:val="clear" w:fill="eeee80"/>
        </w:rPr>
        <w:t xml:space="preserve"> إذا تم تحديد أي حالات عدم امتثال للقوانين واللوائح،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2026-10-14T16:05:31+00:00</dcterms:created>
  <dcterms:modified xsi:type="dcterms:W3CDTF">2026-10-14T16:05:31+00:00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