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إنهاء الخدمة من قبل صاحب العمل: لا يمكن بأي حال من الأحوال دعم عقد العمل ببند عدم المنافسة إذا أنهى صاحب العمل علاقة العمل دون سبب معقول.  هذا البند حيوي لأنه يضمن عدم إمكانية تقييد الموظفين الذين تم إنهاء خدمتهم في ممارساتهم المستقبلية على أساس الفصل التعسفي (المرسوم بقانون اتحادي رقم 33 لسنة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