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Every suicide, like every person, is different.</w:t>
      </w:r>
    </w:p>
    <w:p>
      <w:pPr/>
      <w:r>
        <w:rPr>
          <w:shd w:val="clear" w:fill="eeee80"/>
        </w:rPr>
        <w:t xml:space="preserve">Many are sparked by intense feelings of anger, despair, hopelessness, or panic.</w:t>
      </w:r>
    </w:p>
    <w:p>
      <w:pPr/>
      <w:r>
        <w:rPr/>
        <w:t xml:space="preserve"> Things that can put an individual at a higher risk for suicide in the short term include:an episode of depression, psychosis, or anxietya significant loss, such as the death of a partner or the loss of a joba personal crisis or life stress, especially one that increases a sense of isolation or leads to a loss of self-esteem, such as a breakup or divorceloss of social support, for example, because of a move or when a close friend relocatesan illness or medication that triggers a change in moodexposure to the suicidal behaviors of others, such as friends, peers, or celebrities.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2026-09-20T15:28:31+00:00</dcterms:created>
  <dcterms:modified xsi:type="dcterms:W3CDTF">2026-09-20T15:28:31+00:00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