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Top-performing companies start engaging employees from the minute they show up on the first day.</w:t>
      </w:r>
    </w:p>
    <w:p>
      <w:pPr/>
      <w:r>
        <w:rPr>
          <w:shd w:val="clear" w:fill="eeee80"/>
        </w:rPr>
        <w:t xml:space="preserve">Only around a third of American employees are engaged in their jobs.</w:t>
      </w:r>
    </w:p>
    <w:p>
      <w:pPr/>
      <w:r>
        <w:rPr>
          <w:shd w:val="clear" w:fill="eeee80"/>
        </w:rPr>
        <w:t xml:space="preserve">Given the proven links between employee engagement and financial outcomes, this low level of engagement is a drag on the U.S. economy.</w:t>
      </w:r>
    </w:p>
    <w:p>
      <w:pPr/>
      <w:r>
        <w:rPr>
          <w:shd w:val="clear" w:fill="eeee80"/>
        </w:rPr>
        <w:t xml:space="preserve">Imagine the positive -- even dramatic -- impact on the country's economic prospects if companies could double the number of their engaged employees.</w:t>
      </w:r>
    </w:p>
    <w:p>
      <w:pPr/>
      <w:r>
        <w:rPr>
          <w:shd w:val="clear" w:fill="eeee80"/>
        </w:rPr>
        <w:t xml:space="preserve">This is hardly a pipe dream.</w:t>
      </w:r>
    </w:p>
    <w:p>
      <w:pPr/>
      <w:r>
        <w:rPr>
          <w:shd w:val="clear" w:fill="eeee80"/>
        </w:rPr>
        <w:t xml:space="preserve">Gallup sees substantial increases in employee engagement all the time.</w:t>
      </w:r>
    </w:p>
    <w:p>
      <w:pPr/>
      <w:r>
        <w:rPr>
          <w:shd w:val="clear" w:fill="eeee80"/>
        </w:rPr>
        <w:t xml:space="preserve">Many of Gallup's clients, large and small, are already boosting their engagement levels or are well on their way.</w:t>
      </w:r>
    </w:p>
    <w:p>
      <w:pPr/>
      <w:r>
        <w:rPr>
          <w:shd w:val="clear" w:fill="eeee80"/>
        </w:rPr>
        <w:t xml:space="preserve">The median engagement level among all of Gallup's clients is 47%, and it's even higher among the company's best clients.</w:t>
      </w:r>
    </w:p>
    <w:p>
      <w:pPr/>
      <w:r>
        <w:rPr>
          <w:shd w:val="clear" w:fill="eeee80"/>
        </w:rPr>
        <w:t xml:space="preserve">These companies have an average of 70% of engaged employees and boast nine engaged employees for every actively disengaged employee -- a ratio that is more than five times the national average.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2026-10-04T01:23:29+00:00</dcterms:created>
  <dcterms:modified xsi:type="dcterms:W3CDTF">2026-10-04T01:23:29+00:00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