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ورث المجتمع العباسي كل ما كان في المجتمع الساساني الفارسي من أدوات اللهو والمجون وساعد على ذلك ما دفعت إليه الثورة العباسية من حرية مشرفة،  فقد حصى الناس يعلمون كؤوس الختر حتى الثمالة،  وكان من أسباب انتشارها وإقبال الناس عليها أن ألى اجتهاد بعض فقهاء العراق إلى تقليل بعض الأنبذة كنبيد النمر والزبيب المطلوح شريها الخلفاء وتبعهم الناس في ذلك ويُعتبر أبو نواس من بين أشهر الشعراء الذين الشدوا مجالس الخضر حيث يقول: نية لدينك لا نفس ويشقيك كأنا في الفلس صرفا كان شعاعها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