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118) عبد العظيم مرسي وزير،</w:t>
      </w:r>
    </w:p>
    <w:p>
      <w:pPr/>
      <w:r>
        <w:rPr>
          <w:shd w:val="clear" w:fill="eeee80"/>
        </w:rPr>
        <w:t xml:space="preserve">لا يختلف الفقه الذي يأخذ بفكرة الشروط المفترضة في الجريمة أو الذين تناولوها دون أن يسلموا بذاتيتها أن هذه الشروط تعتبر جزء من البنيان القانوني للجريمة،</w:t>
      </w:r>
    </w:p>
    <w:p>
      <w:pPr/>
      <w:r>
        <w:rPr/>
        <w:t xml:space="preserve"> ولكن يختلفون في تحديد موضعها داخل النموذج القانوني؛ فمنهم من يرى تبعية هذه الشروط إلى الواقعة الإجرامية الأكثر اتساعا،</w:t>
      </w:r>
    </w:p>
    <w:p>
      <w:pPr/>
      <w:r>
        <w:rPr>
          <w:shd w:val="clear" w:fill="eeee80"/>
        </w:rPr>
        <w:t xml:space="preserve"> في حين يذهب البعض إلى استقلال هذه الشروط عن أركان الجريمة (119).</w:t>
      </w:r>
    </w:p>
    <w:p>
      <w:pPr/>
      <w:r>
        <w:rPr>
          <w:shd w:val="clear" w:fill="eeee80"/>
        </w:rPr>
        <w:t xml:space="preserve">التمييز بين الركن والشرط المفترض للجريمة له نتائج قانونية هامة؛</w:t>
      </w:r>
    </w:p>
    <w:p>
      <w:pPr/>
      <w:r>
        <w:rPr/>
        <w:t xml:space="preserve"> ففي مسألة الإثبات نجد أن الشرط المفترض يقع إثباته وفقا لقواعد الإثبات المقررة في ذلك الفرع القانوني الذي ينتمي إليه، فإذا كان عقدا مدنيا جرى إثباته وفقا لقواعد القانون المدني،</w:t>
      </w:r>
    </w:p>
    <w:p>
      <w:pPr/>
      <w:r>
        <w:rPr>
          <w:shd w:val="clear" w:fill="eeee80"/>
        </w:rPr>
        <w:t xml:space="preserve"> بينما إذا كان الأمر يتعلق بركن من أركان الجريمة فيجري إثباته وفقا لمبدأ الإثبات الحر.</w:t>
      </w:r>
    </w:p>
    <w:p>
      <w:pPr/>
      <w:r>
        <w:rPr/>
        <w:t xml:space="preserve">بالإضافة إلى ذلك كيفية استنتاج البدء في التنفيذ كعنصر في جريمة الشروع،فيكون البدء في التنفيذ مقتصر على الركن وليس على الشرط المفترض.أخيرا مسألة ضبط مكان وقوع الجريمة لتحديد الاختصاص المحلي،</w:t>
      </w:r>
    </w:p>
    <w:p>
      <w:pPr/>
      <w:r>
        <w:rPr>
          <w:shd w:val="clear" w:fill="eeee80"/>
        </w:rPr>
        <w:t xml:space="preserve"> فمكان ارتكاب الجريمة هو المكان الذي وقع فيه أحد أركان الجريمة وليس مكان تحقق الشرط المفترض.</w:t>
      </w:r>
    </w:p>
    <w:p>
      <w:pPr/>
      <w:r>
        <w:rPr/>
        <w:t xml:space="preserve">قصد بشروط العقاب الوقائع التي تتحقق بعيدا عن أركان الجريمة، بحيث نجتمع الأركان كلها ولكن يتوقف توقيع العقاب على مدى تحققها من عدمه،</w:t>
      </w:r>
    </w:p>
    <w:p>
      <w:pPr/>
      <w:r>
        <w:rPr>
          <w:shd w:val="clear" w:fill="eeee80"/>
        </w:rPr>
        <w:t xml:space="preserve"> فهي إذن أمور يتطلبها القانون بعيدا عن البنيان القانوني للجريمة ولكنها لازمة لاستحقاق العقاب المقرر لها،</w:t>
      </w:r>
    </w:p>
    <w:p>
      <w:pPr/>
      <w:r>
        <w:rPr/>
        <w:t xml:space="preserve"> ويطلق عليها الفقه الشروط الموضوعية للعقاب (120).</w:t>
      </w:r>
    </w:p>
    <w:p>
      <w:pPr/>
      <w:r>
        <w:rPr>
          <w:shd w:val="clear" w:fill="eeee80"/>
        </w:rPr>
        <w:t xml:space="preserve">من الفقهاء من يلحق هذه الشروط بالأركان طالما أنها لازمة لاستحقاق العقاب،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2026-10-17T21:30:18+00:00</dcterms:created>
  <dcterms:modified xsi:type="dcterms:W3CDTF">2026-10-17T21:30:18+00:00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