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يعمل قطاع النقل الجوي والتعاون الدولي على تعزيز الربط الجوي العالمي للمملكة من خلال تطوير الشراكات الاستراتيجية  مع المنظمات والهيئات العاملة في قطاع الطيران المدني،</w:t>
      </w:r>
    </w:p>
    <w:p>
      <w:pPr/>
      <w:r>
        <w:rPr>
          <w:shd w:val="clear" w:fill="eeee80"/>
        </w:rPr>
        <w:t xml:space="preserve"> وإبرام الاتفاقيات الثنائية في مجال النقل الجوي واتفاقيات التعاون مع الجهات ذات الصلة،</w:t>
      </w:r>
    </w:p>
    <w:p>
      <w:pPr/>
      <w:r>
        <w:rPr/>
        <w:t xml:space="preserve"> ويهدف القطاع إلى تحقيق الريادة في مجال النقل الجوي عبر تسهيل حركة الطائرات والركاب والأمتعة والبضائع والبريد ، وتعزيز كفاءة تشغيل رحلات الحج والعمرة، بما يتماشى مع رؤية المملكة 2030.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2026-08-29T09:05:45+00:00</dcterms:created>
  <dcterms:modified xsi:type="dcterms:W3CDTF">2026-08-29T09:05:45+00:00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