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بتعويض الضرر الذي ألحقه بالغير سواء كان هذا الضرر ماديا او معنويا.</w:t>
      </w:r>
    </w:p>
    <w:p>
      <w:pPr/>
      <w:r>
        <w:rPr>
          <w:shd w:val="clear" w:fill="eeee80"/>
        </w:rPr>
        <w:t xml:space="preserve"> المسؤولية المدنية إما أن تكون تعاقدية أو تقصيرية؛</w:t>
      </w:r>
    </w:p>
    <w:p>
      <w:pPr/>
      <w:r>
        <w:rPr>
          <w:shd w:val="clear" w:fill="eeee80"/>
        </w:rPr>
        <w:t xml:space="preserve">تكون عقدية (=تعاقدية) عند إخلال المدين بإلتزام تعاقدي أي التزام ناشئ عن العقد بينما تنشأ المسؤولية التقصيرية عند الإخلال بإلتزام قانوني يتمثل في عدم إلحاق الضرر بالغير فقد ورد بالفصل 82 م.</w:t>
      </w:r>
    </w:p>
    <w:p>
      <w:pPr/>
      <w:r>
        <w:rPr>
          <w:shd w:val="clear" w:fill="eeee80"/>
        </w:rPr>
        <w:t xml:space="preserve">!.ع ما يلي ( من تسبب في ضرر غيره عمدا منه وإختيارا بلا وجه قانوني سواء كان الضرر حسيا أو معنويا فعليه جبر الضرر).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2026-10-30T20:55:28+00:00</dcterms:created>
  <dcterms:modified xsi:type="dcterms:W3CDTF">2026-10-30T20:55:28+00:00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