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2.ACQUIRE HARDWARE Once the software has been chosen, the hardware to rn٢</w:t>
      </w:r>
    </w:p>
    <w:p>
      <w:pPr/>
      <w:r>
        <w:rPr>
          <w:shd w:val="clear" w:fill="eeee80"/>
        </w:rPr>
        <w:t xml:space="preserve">must be acquired or upgraded.</w:t>
      </w:r>
    </w:p>
    <w:p>
      <w:pPr/>
      <w:r>
        <w:rPr/>
        <w:t xml:space="preserve"> I's possible your new system will not require anynew hardware. It's also possible that the new hardware will cost millions of dollars andinvolve many items: microcomputers, mainframes, monitors, modems, and many otherdevices. </w:t>
      </w:r>
    </w:p>
    <w:p>
      <w:pPr/>
      <w:r>
        <w:rPr>
          <w:shd w:val="clear" w:fill="eeee80"/>
        </w:rPr>
        <w:t xml:space="preserve">The organization may find it's beter to lcase than to buy some equipment, cspe-cially since, as we mentioned (Moore's law), chip capability has traditionally doubledcvery 18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2026-10-26T23:47:41+00:00</dcterms:created>
  <dcterms:modified xsi:type="dcterms:W3CDTF">2026-10-26T23:47:41+00:00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