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الأول : التأكيد على مدى أقدمية ظاهرة "الرأي العام"</w:t>
      </w:r>
    </w:p>
    <w:p>
      <w:pPr/>
      <w:r>
        <w:rPr/>
        <w:t xml:space="preserve">يرى أصحاب الرأي الأول أنه الرأي العام وجدت بعض أثاره المادية والمعنوية في المجتمعات القديمة و لكن بمسميات أخرى وبدرجات متفاوتة من حيث التعبير و التجلي العلني وهذا حسب طبيعة نظام الحكم والصلاحيات العرفية و القانونية و السياسية المتاحة للرعية أو بكلمة أدق لممثليهم من قبل الزعيم أو الإمبراطور أو البابا سواء في فترات السلم أو في فترات الحرب والتوسع ، حيث من أشهر هذه المسميات العرفية أو القانونية: الاتفاق المصلحة ،</w:t>
      </w:r>
    </w:p>
    <w:p>
      <w:pPr/>
      <w:r>
        <w:rPr>
          <w:shd w:val="clear" w:fill="eeee80"/>
        </w:rPr>
        <w:t xml:space="preserve">Volonté divine( الإرادة الإلهية ،</w:t>
      </w:r>
    </w:p>
    <w:p>
      <w:pPr/>
      <w:r>
        <w:rPr/>
        <w:t xml:space="preserve"> )Consensus( الإجماع ،</w:t>
      </w:r>
    </w:p>
    <w:p>
      <w:pPr/>
      <w:r>
        <w:rPr>
          <w:shd w:val="clear" w:fill="eeee80"/>
        </w:rPr>
        <w:t xml:space="preserve"> )Accord(‏ العامة ( Intérêt général).</w:t>
      </w:r>
    </w:p>
    <w:p>
      <w:pPr/>
      <w:r>
        <w:rPr/>
        <w:t xml:space="preserve"> في الواقع لقد سادت معظم هذه المراحل التاريخية في الشرق والغرب ظاهرة احتكار السلطة والامتيازات السياسية والاقتصادية من قبل غالبية أو أصلية تمارس هيمنتها من خلال استخدام القوة العسكرية و النفوذ السياسي على المستضعفين من النساء والرجال تارة باسم التفويض المباشر وطورا باسم التفويض غير المباشر.</w:t>
      </w:r>
    </w:p>
    <w:p>
      <w:pPr/>
      <w:r>
        <w:rPr>
          <w:shd w:val="clear" w:fill="eeee80"/>
        </w:rPr>
        <w:t xml:space="preserve"> لكن رغم هذه الطاعة المفروضة على المحكومين باسم دعايات سياسية تزعم الحفاظ على المكاسب التاريخية والسياسية للرعية خدمة لمصالح فردية أو فئوية آنية أو مستقبلية وجدت فترات استثنائية في مجتمعات و حضارات كالصينية والفارسية و الهندية و اليونانية و الإغريقية و غيرها ساد فيها العدل والإحسان والأمر بالمعروف والنهي عن المنكر على يد أنبياء و رسل و من ثم خلفاء راشدين وقياسا مع الفارق،</w:t>
      </w:r>
    </w:p>
    <w:p>
      <w:pPr/>
      <w:r>
        <w:rPr>
          <w:shd w:val="clear" w:fill="eeee80"/>
        </w:rPr>
        <w:t xml:space="preserve"> عرف العالم المسيحي الظاهرة بأشكال و صور شتى في ظل ظاهرة الإقطاع حيث عاشت الآراء تحت سيطرة الكنيسة اللاهوتية المتحالفة مع الملوك والأباطرة تمخضت في ظاهرة رأي عام خاضع ،</w:t>
      </w:r>
    </w:p>
    <w:p>
      <w:pPr/>
      <w:r>
        <w:rPr>
          <w:shd w:val="clear" w:fill="eeee80"/>
        </w:rPr>
        <w:t xml:space="preserve"> يبرر وجوده عقائديا باسم القضاء والقدر السيد و العبد) نتيجة الأمية و الفقر والحرمان حيث ظل يتلقى السواد الأعظم من معتنقي المسيحية التعاليم الكنيسة في شكل طقوس زرعت في نفسيته الشعور بالانتماء والوحدة و الخلاص،</w:t>
      </w:r>
    </w:p>
    <w:p>
      <w:pPr/>
      <w:r>
        <w:rPr>
          <w:shd w:val="clear" w:fill="eeee80"/>
        </w:rPr>
        <w:t xml:space="preserve"> خاصة مع بروز و تطور ظاهرة الحروب الصليبية خارج حدودها الإقليمية ،</w:t>
      </w:r>
    </w:p>
    <w:p>
      <w:pPr/>
      <w:r>
        <w:rPr>
          <w:shd w:val="clear" w:fill="eeee80"/>
        </w:rPr>
        <w:t xml:space="preserve"> هذا في حين شهد العالم الإسلامي الظاهرة في صيغ الإجماع و الشورى كممارسة اجتماعية واسعة منذ عهدة النبوة وحتى أيام الخلافة الراشدة و بعضا من فترات الحكم الملكي.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2026-09-04T16:10:05+00:00</dcterms:created>
  <dcterms:modified xsi:type="dcterms:W3CDTF">2026-09-04T16:10:05+00:00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