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وال يعتبر القبول منتجا صل إلى الموجب خالل الميعاد الذى حدده فى إيجابه أو ً ألثره إذا لم ي  ويجب أن يؤخذ فى االعتبار فى تحديد الميعاد المعقول ظروف التعامل بما فى ذلك سرعة وسائل المواصالت التى استخدمها  فإنه متى تضمن اإليجاب أو دل التعامل السابق بين المتعاقدين أو قضى العرف بأن الموجه إليه اإليجاب ،  عليه أن يعبر عن قبوله بالقيام بعمل معين كإرسال يقوم فيها الموجه إليه اإليجاب بهذا العمل ،  بشرط أن يتم هذا العمل خالل الميعاد المحدد فى اإليجاب لصدور القبول أو خالل الميعاد المعقول إذا لم يحدد الموجب ميعادا ) المادة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2026-11-08T01:41:07+00:00</dcterms:created>
  <dcterms:modified xsi:type="dcterms:W3CDTF">2026-11-08T01:41:07+00:00</dcterms:modified>
</cp:coreProperties>
</file>

<file path=docProps/custom.xml><?xml version="1.0" encoding="utf-8"?>
<Properties xmlns="http://schemas.openxmlformats.org/officeDocument/2006/custom-properties" xmlns:vt="http://schemas.openxmlformats.org/officeDocument/2006/docPropsVTypes"/>
</file>