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transportation allowance for office work can be terminated or replaced with in-kind benefits by the first party without the second party's consent.</w:t>
      </w:r>
    </w:p>
    <w:p>
      <w:pPr/>
      <w:r>
        <w:rPr>
          <w:shd w:val="clear" w:fill="eeee80"/>
        </w:rPr>
        <w:t xml:space="preserve">Allowances and benefits, whether financial or in-kind, are determined by the first party according to their policies and are not permanent rights, but temporary benefits that cease when no longer needed.</w:t>
      </w:r>
    </w:p>
    <w:p>
      <w:pPr/>
      <w:r>
        <w:rPr/>
        <w:t xml:space="preserve"> If the second party intends to change employers, they must notify the first party in writing 120 days in advance; failing to do so will require them to pay a penalty equivalent to their last month's wage. </w:t>
      </w:r>
    </w:p>
    <w:p>
      <w:pPr/>
      <w:r>
        <w:rPr>
          <w:shd w:val="clear" w:fill="eeee80"/>
        </w:rPr>
        <w:t xml:space="preserve">The second party is also obligated to fulfill the contract period, and breaching this may result in a penalty of six months' wages and any additional compensation stipulated in the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2026-10-18T23:34:09+00:00</dcterms:created>
  <dcterms:modified xsi:type="dcterms:W3CDTF">2026-10-18T23:34:09+00:00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