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 حقوق الدفاع غير كاف بذاته لتحقيق الهدف المرجو من إقراره ما لـم يكن مدعما</w:t>
      </w:r>
    </w:p>
    <w:p>
      <w:pPr/>
      <w:r>
        <w:rPr>
          <w:shd w:val="clear" w:fill="eeee80"/>
        </w:rPr>
        <w:t xml:space="preserve">بدعائم دستورية و قانونية تكفل احترامه و تفرض حسن ممارسته و لذلك نجد أن مختلف</w:t>
      </w:r>
    </w:p>
    <w:p>
      <w:pPr/>
      <w:r>
        <w:rPr>
          <w:shd w:val="clear" w:fill="eeee80"/>
        </w:rPr>
        <w:t xml:space="preserve">التشريعات تحاول تزويد نصوصها بما يشكل ضمانا و دعائم ـ لممارسة حق الدفاع سواء في </w:t>
      </w:r>
    </w:p>
    <w:p>
      <w:pPr/>
      <w:r>
        <w:rPr>
          <w:shd w:val="clear" w:fill="eeee80"/>
        </w:rPr>
        <w:t xml:space="preserve">دساتيرها أو في قوانينها للإجراءات الجزائية و من ذلك المشرع الجزائري،</w:t>
      </w:r>
    </w:p>
    <w:p>
      <w:pPr/>
      <w:r>
        <w:rPr>
          <w:shd w:val="clear" w:fill="eeee80"/>
        </w:rPr>
        <w:t xml:space="preserve"> حيث وضع دعائـم </w:t>
      </w:r>
    </w:p>
    <w:p>
      <w:pPr/>
      <w:r>
        <w:rPr/>
        <w:t xml:space="preserve">لحق الدفاع تضمنه و تسهل،</w:t>
      </w:r>
    </w:p>
    <w:p>
      <w:pPr/>
      <w:r>
        <w:rPr>
          <w:shd w:val="clear" w:fill="eeee80"/>
        </w:rPr>
        <w:t xml:space="preserve"> ممارسته في شكل ضمانات و مقتضيات ممارسة،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2026-09-22T08:12:34+00:00</dcterms:created>
  <dcterms:modified xsi:type="dcterms:W3CDTF">2026-09-22T08:12:34+00:00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