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الإدارة وهي بصدد ممارستها لوظيفتها الإدارية،</w:t>
      </w:r>
    </w:p>
    <w:p>
      <w:pPr/>
      <w:r>
        <w:rPr>
          <w:shd w:val="clear" w:fill="eeee80"/>
        </w:rPr>
        <w:t xml:space="preserve"> قد يلزمها نص القانون أو التنظيم بإصدار قرار معين،</w:t>
      </w:r>
    </w:p>
    <w:p>
      <w:pPr/>
      <w:r>
        <w:rPr/>
        <w:t xml:space="preserve"> حيث يكون الاختصاص في اتخاذ القرار الإداري مقيدا،</w:t>
      </w:r>
    </w:p>
    <w:p>
      <w:pPr/>
      <w:r>
        <w:rPr>
          <w:shd w:val="clear" w:fill="eeee80"/>
        </w:rPr>
        <w:t xml:space="preserve"> فالإدارة في هذه الحالة لا تتمتع بحرية التقدير والملائمة،</w:t>
      </w:r>
    </w:p>
    <w:p>
      <w:pPr/>
      <w:r>
        <w:rPr/>
        <w:t xml:space="preserve"> لأن النظام القانوني قد أحاط بكل تفاصيل وظروف التصرف،</w:t>
      </w:r>
    </w:p>
    <w:p>
      <w:pPr/>
      <w:r>
        <w:rPr>
          <w:shd w:val="clear" w:fill="eeee80"/>
        </w:rPr>
        <w:t xml:space="preserve"> كما قد يكون للإدارة اختصاص تقديري،</w:t>
      </w:r>
    </w:p>
    <w:p>
      <w:pPr/>
      <w:r>
        <w:rPr/>
        <w:t xml:space="preserve"> وذلك عندما لا يتعرض القانون إلى التنظيم بالتفصيل الأركان وشروط التصرف،</w:t>
      </w:r>
    </w:p>
    <w:p>
      <w:pPr/>
      <w:r>
        <w:rPr>
          <w:shd w:val="clear" w:fill="eeee80"/>
        </w:rPr>
        <w:t xml:space="preserve"> حينها تتحرك سلطة التقدير والملائمة للإدارة أو الرجل الإدارة المختص.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2026-10-11T05:46:07+00:00</dcterms:created>
  <dcterms:modified xsi:type="dcterms:W3CDTF">2026-10-11T05:46:07+00:00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