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	يرى بولبي بان العلاقة الثنائية بين الام والطفل هي مركزية وان الام تساهم بشكل مركزي بدون منافس بحفظ سلامة الطفل الجسدية والعاطفية.</w:t>
      </w:r>
    </w:p>
    <w:p>
      <w:pPr/>
      <w:r>
        <w:rPr/>
        <w:t xml:space="preserve">	شدد بولبي على الحاجة لحب الام من اجل العلاقة الصحية مع الطفل فحب الام يساهم في تطور الطفل السليم عندما يتعرض لانحراف عن الوضع الطبيعي نتيجة لنقص الامومة.</w:t>
      </w:r>
    </w:p>
    <w:p>
      <w:pPr/>
      <w:r>
        <w:rPr>
          <w:shd w:val="clear" w:fill="eeee80"/>
        </w:rPr>
        <w:t xml:space="preserve">	هي العلاقة الأولى التي تبنى بين الطفل وذويه والتي تشكل حجر الأساس للتطور النفسي بداية ومن ثم الاجتماعي والتعليمي.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2026-10-20T06:21:57+00:00</dcterms:created>
  <dcterms:modified xsi:type="dcterms:W3CDTF">2026-10-20T06:21:57+00:00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