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Discrete Cosine Transform WatermarkingIn DCT the image is divided into different frequency band, and then embedding watermarkinginto the middle frequency bands of an image.</w:t>
      </w:r>
    </w:p>
    <w:p>
      <w:pPr/>
      <w:r>
        <w:rPr/>
        <w:t xml:space="preserve"> DCT represents data in terms of frequency spacerather than an amplitude space. </w:t>
      </w:r>
    </w:p>
    <w:p>
      <w:pPr/>
      <w:r>
        <w:rPr>
          <w:shd w:val="clear" w:fill="eeee80"/>
        </w:rPr>
        <w:t xml:space="preserve">DCT based watermarking techniques are robust compared tospatial domain techniques.</w:t>
      </w:r>
    </w:p>
    <w:p>
      <w:pPr/>
      <w:r>
        <w:rPr/>
        <w:t xml:space="preserve">Steps in DCT Watermarking Algorithm (Block Based).1.2.3.4.5.6.Divide the image into non-overlapping blocks of 8×8Apply forward DCT to each of these blocksApply some block selection criteria (e.g. HVS)Apply coefficient selection criteriaEmbed watermarkApply inverse DCT transform on each block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2026-08-16T00:21:37+00:00</dcterms:created>
  <dcterms:modified xsi:type="dcterms:W3CDTF">2026-08-16T00:21:37+00:00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