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AIS environment, numerous accounting software systems are available for purchase that integrate many or all of the business processes within an organization. In the early days of computer automation of accounting, much of the accounting software was developed and written internally by the organization’s IT staff. </w:t>
      </w:r>
    </w:p>
    <w:p>
      <w:pPr/>
      <w:r>
        <w:rPr>
          <w:shd w:val="clear" w:fill="eeee80"/>
        </w:rPr>
        <w:t xml:space="preserve">Today, companies more frequently purchase software rather than develop it internally.</w:t>
      </w:r>
    </w:p>
    <w:p>
      <w:pPr/>
      <w:r>
        <w:rPr/>
        <w:t xml:space="preserve"> Often, purchased systems are modified by the IT staff to meet specific needs of the organization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2026-10-01T06:06:37+00:00</dcterms:created>
  <dcterms:modified xsi:type="dcterms:W3CDTF">2026-10-01T06:06:37+00:00</dcterms:modified>
</cp:coreProperties>
</file>

<file path=docProps/custom.xml><?xml version="1.0" encoding="utf-8"?>
<Properties xmlns="http://schemas.openxmlformats.org/officeDocument/2006/custom-properties" xmlns:vt="http://schemas.openxmlformats.org/officeDocument/2006/docPropsVTypes"/>
</file>