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لعل من الظواهر الفريدة التي بقيت من تأثير التركيز فى لسان أهل مصر ما احتفظت به العامية المصرية في بعض صيغ النسب إلى البلاد،</w:t>
      </w:r>
    </w:p>
    <w:p>
      <w:pPr/>
      <w:r>
        <w:rPr>
          <w:shd w:val="clear" w:fill="eeee80"/>
        </w:rPr>
        <w:t xml:space="preserve"> أو إلى الحرف ويتجلى ذلك فى استعمال كلمات منتهية بلاحقة "لى" التى تفيد فى التركية معنيين : معنى النسب إلى البلد،</w:t>
      </w:r>
    </w:p>
    <w:p>
      <w:pPr/>
      <w:r>
        <w:rPr/>
        <w:t xml:space="preserve"> ومعنى "صاحب" أو "ذو"،</w:t>
      </w:r>
    </w:p>
    <w:p>
      <w:pPr/>
      <w:r>
        <w:rPr>
          <w:shd w:val="clear" w:fill="eeee80"/>
        </w:rPr>
        <w:t xml:space="preserve"> كما بقي فى العامية المصرية أسلوب النسب التركي إلى الحرفة باستخدام اللاحقة "جي".</w:t>
      </w:r>
    </w:p>
    <w:p>
      <w:pPr/>
      <w:r>
        <w:rPr>
          <w:shd w:val="clear" w:fill="eeee80"/>
        </w:rPr>
        <w:t xml:space="preserve">وقد اقتصر النسب باللاحقة  على البلاد التركية،</w:t>
      </w:r>
    </w:p>
    <w:p>
      <w:pPr/>
      <w:r>
        <w:rPr>
          <w:shd w:val="clear" w:fill="eeee80"/>
        </w:rPr>
        <w:t xml:space="preserve"> بحيث نستطيع أن تتصور استقال الكلمة إلى السنة العامة باعتبارها كتلة صوتية لا يتميز فيها الاسم عن الأداة،</w:t>
      </w:r>
    </w:p>
    <w:p>
      <w:pPr/>
      <w:r>
        <w:rPr/>
        <w:t xml:space="preserve"> أي أن قبول اللسان لها كتلة لا يترجم إلى موقف نحوي إرادي، فلم يحدث لدى من العامة أن نسب إلى "مصر" مثلاً بقوله : "مصرلي" مع أنه قياس في السنة أي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2026-08-25T06:14:34+00:00</dcterms:created>
  <dcterms:modified xsi:type="dcterms:W3CDTF">2026-08-25T06:14:34+00:00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