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هدفت الدراسةإلى التعرفعلى اتجاهات العاملين حول دور بيئةالعمل الداخلية)مركزيةالقـرارات،</w:t>
      </w:r>
    </w:p>
    <w:p>
      <w:pPr/>
      <w:r>
        <w:rPr>
          <w:shd w:val="clear" w:fill="eeee80"/>
        </w:rPr>
        <w:t xml:space="preserve"> نظام الحوافز واملكافآت( على اإلبداع اإلداري في مديرية اإلدارة املحلية بوالية غرداية،</w:t>
      </w:r>
    </w:p>
    <w:p>
      <w:pPr/>
      <w:r>
        <w:rPr>
          <w:shd w:val="clear" w:fill="eeee80"/>
        </w:rPr>
        <w:t xml:space="preserve"> ولتحقيق أهداف الدراسة تم تصميم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2026-10-09T10:15:09+00:00</dcterms:created>
  <dcterms:modified xsi:type="dcterms:W3CDTF">2026-10-09T10:15:09+00:00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