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الامتيازات السياسية : ويتعلق الأمر بتسوية «بكلار» سنة 1863 التي أعطت لممثلي الدولة الفرنسية،</w:t>
      </w:r>
    </w:p>
    <w:p>
      <w:pPr/>
      <w:r>
        <w:rPr>
          <w:shd w:val="clear" w:fill="eeee80"/>
        </w:rPr>
        <w:t xml:space="preserve"> ولغيرها من الدول الأجنبية المتعاقدة مع المغرب،</w:t>
      </w:r>
    </w:p>
    <w:p>
      <w:pPr/>
      <w:r>
        <w:rPr>
          <w:shd w:val="clear" w:fill="eeee80"/>
        </w:rPr>
        <w:t xml:space="preserve"> الحق في منح «الحماية القنصلية» للرعايا المغاربة؛</w:t>
      </w:r>
    </w:p>
    <w:p>
      <w:pPr/>
      <w:r>
        <w:rPr>
          <w:shd w:val="clear" w:fill="eeee80"/>
        </w:rPr>
        <w:t xml:space="preserve"> الذين يعفون من أداء الضرائب ومتابعة القضاء الشرعي المغربي،</w:t>
      </w:r>
    </w:p>
    <w:p>
      <w:pPr/>
      <w:r>
        <w:rPr>
          <w:shd w:val="clear" w:fill="eeee80"/>
        </w:rPr>
        <w:t xml:space="preserve"> ومن جهة أخرى «مؤتمر مدريد» المنعقد سنة 1880 بطلب من السلطان الحسن الأول؛</w:t>
      </w:r>
    </w:p>
    <w:p>
      <w:pPr/>
      <w:r>
        <w:rPr>
          <w:shd w:val="clear" w:fill="eeee80"/>
        </w:rPr>
        <w:t xml:space="preserve"> بهدف الحد من الحماية القنصلية ومخاطرها،</w:t>
      </w:r>
    </w:p>
    <w:p>
      <w:pPr/>
      <w:r>
        <w:rPr>
          <w:shd w:val="clear" w:fill="eeee80"/>
        </w:rPr>
        <w:t xml:space="preserve"> لكن قراراته أكدت ما جاء في المعاهدات السابقة ومنحت للدول الأوربية امتيازات إضافية (حق الملكية بالمغرب).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2026-10-17T23:14:08+00:00</dcterms:created>
  <dcterms:modified xsi:type="dcterms:W3CDTF">2026-10-17T23:14:08+00:00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