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قال -تعالى-: (وَمَا أَرْسَلْنَاكَ إِلَّا رَحْمَةً لِّلْعَالَمِينَ)،</w:t>
      </w:r>
    </w:p>
    <w:p>
      <w:pPr/>
      <w:r>
        <w:rPr>
          <w:shd w:val="clear" w:fill="eeee80"/>
        </w:rPr>
        <w:t xml:space="preserve"> [١٠] أيّ للجنّ والإنس كما قال السَمرقندي،</w:t>
      </w:r>
    </w:p>
    <w:p>
      <w:pPr/>
      <w:r>
        <w:rPr>
          <w:shd w:val="clear" w:fill="eeee80"/>
        </w:rPr>
        <w:t xml:space="preserve"> وما كان ليعذّب قوماً وفيهم رسول الله،</w:t>
      </w:r>
    </w:p>
    <w:p>
      <w:pPr/>
      <w:r>
        <w:rPr>
          <w:shd w:val="clear" w:fill="eeee80"/>
        </w:rPr>
        <w:t xml:space="preserve"> [١١] رغم أنّ المشركين طلبوا العذاب لكنّه لم يأتيهم لوجود رسول الله بينهم،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2026-09-14T00:49:02+00:00</dcterms:created>
  <dcterms:modified xsi:type="dcterms:W3CDTF">2026-09-14T00:49:02+00:00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