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 successful visions are based on strong pillars the first pillar of our vision is our status as the heart of the Arab and Islamic words we recognise that Aaliyah the almighty has given to our country a gift more precious than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