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التقارير المالية، مُسلّطاً الضوء على أهمية التناسق الدولي في هذا المجال.  يُبرز النص التحديات التي تواجه التوحيد الدولي للمعايير المحاسبية،  بسبب اختلافات النظم القانونية والسياسية، وتطور أسواق المال، وطبيعة الاقتصادات، والعوامل الثقافية.  ويُقدم مثالين (دايملر بنز وجلاكسو سميث كلاين) يُظهران  تأثير اختلاف المعايير المحاسبية على التقارير المالية.  كما يُناقش النص جهود التوحيد،  بدءاً من لجنة معايير المحاسبة الدولية (IASC)  ومجلس معايير المحاسبة الدولية (IASB)،  وإصدار معايير التقارير المالية الدولية (IFRS)، ودور المنظمة الدولية للجان الأوراق المالية (IOSCO) واتفاقية نورووك بين IASB و FASB الأمريكي.  أخيراً، يُشرح النص هيكل IASB،  ومجلس المعايير الاستشاري (SAC)،  ولجنة تفسيرات التقارير المالية الدولية (IFRIC)،  ووظائف كل منها في ضمان تطبيق موحد للمعايير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