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الـمـوضـوعية يجب دراسة الموضوع بحيادية تامة، وذلك لأن الظاهرة تعد غير مستقلة عن الإنسان فهو من سيدرسه وسينبع شعوره وإرادته ومما يصدر منه ويكون خارجاً عن ميوله ورغبته،</w:t>
      </w:r>
    </w:p>
    <w:p>
      <w:pPr/>
      <w:r>
        <w:rPr>
          <w:shd w:val="clear" w:fill="eeee80"/>
        </w:rPr>
        <w:t xml:space="preserve"> فلا يمكن تطبيق الطريقة العملية كما في الأشياء،</w:t>
      </w:r>
    </w:p>
    <w:p>
      <w:pPr/>
      <w:r>
        <w:rPr>
          <w:shd w:val="clear" w:fill="eeee80"/>
        </w:rPr>
        <w:t xml:space="preserve"> لكننا الآن نشهد دراسات إنسانية حقق العلماء خلالها تجاوزاً لهذه المشكلة بالتخلص من العوامل الذاتية بشكل تدريجي خاصة في علم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2026-09-19T02:54:29+00:00</dcterms:created>
  <dcterms:modified xsi:type="dcterms:W3CDTF">2026-09-19T02:54:29+00:00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