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القضاء التجاري في معالجة صعوبات المقاولة  </w:t>
      </w:r>
    </w:p>
    <w:p>
      <w:pPr/>
      <w:r>
        <w:rPr/>
        <w:t xml:space="preserve">ولا يقتصر نظام المساطر العابرة للحدود على الاعتراف بالمسطرة الأجنبية،</w:t>
      </w:r>
    </w:p>
    <w:p>
      <w:pPr/>
      <w:r>
        <w:rPr>
          <w:shd w:val="clear" w:fill="eeee80"/>
        </w:rPr>
        <w:t xml:space="preserve"> وإنما يقوم كذلك على التعاون القضائي بين المحاكم والسلطات المختصة في الدول المعنية،</w:t>
      </w:r>
    </w:p>
    <w:p>
      <w:pPr/>
      <w:r>
        <w:rPr/>
        <w:t xml:space="preserve"> وذلك لتسهيل إدارة المسطرة وتبادل المعلومات واتخاذ التدابير المناسبة،</w:t>
      </w:r>
    </w:p>
    <w:p>
      <w:pPr/>
      <w:r>
        <w:rPr>
          <w:shd w:val="clear" w:fill="eeee80"/>
        </w:rPr>
        <w:t xml:space="preserve"> بما يساهم في حماية الدائنين وتيسير إنقاذ المقاولة المتعثرة.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يهدف التنسيق بين المساطر إلى تفادي تعارض الإجراءات عندما تكون هناك مسطرة أجنبية إلى جانب مسطرة وطنية تخص نفس المدين.</w:t>
      </w:r>
    </w:p>
    <w:p>
      <w:pPr/>
      <w:r>
        <w:rPr>
          <w:shd w:val="clear" w:fill="eeee80"/>
        </w:rPr>
        <w:t xml:space="preserve"> ولذلك ألزم المشرع المحكمة بمراعاة مقتضيات التعاون والتنسيق عند اتخاذ مختلف التدابير المتعلقة بالمساطر العابرة للحدود.</w:t>
      </w:r>
    </w:p>
    <w:p>
      <w:pPr/>
      <w:r>
        <w:rPr>
          <w:shd w:val="clear" w:fill="eeee80"/>
        </w:rPr>
        <w:t xml:space="preserve"> وفي هذا الإطار،</w:t>
      </w:r>
    </w:p>
    <w:p>
      <w:pPr/>
      <w:r>
        <w:rPr/>
        <w:t xml:space="preserve"> فإنه بعد الاعتراف بمسطرة أجنبية رئيسية، لا يجوز فتح مسطرة لصحوبات المقاولة بالمغرب إلا في الحالة التي يتوفر فيها المدين على أموال داخل تراب المملكة،</w:t>
      </w:r>
    </w:p>
    <w:p>
      <w:pPr/>
      <w:r>
        <w:rPr>
          <w:shd w:val="clear" w:fill="eeee80"/>
        </w:rPr>
        <w:t xml:space="preserve"> مع ضرورة مراعاة التنسيق بين المسطرتين،</w:t>
      </w:r>
    </w:p>
    <w:p>
      <w:pPr/>
      <w:r>
        <w:rPr>
          <w:shd w:val="clear" w:fill="eeee80"/>
        </w:rPr>
        <w:t xml:space="preserve"> وفقاً للمادة 791 من القانون رقم.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كما يتعين على المحكمة،</w:t>
      </w:r>
    </w:p>
    <w:p>
      <w:pPr/>
      <w:r>
        <w:rPr/>
        <w:t xml:space="preserve"> عند وجود مساطر أجنبية متعددة،</w:t>
      </w:r>
    </w:p>
    <w:p>
      <w:pPr/>
      <w:r>
        <w:rPr>
          <w:shd w:val="clear" w:fill="eeee80"/>
        </w:rPr>
        <w:t xml:space="preserve"> فإذا كانت المسطرة المعترف بها مسطرة أجنبية رئيسية،</w:t>
      </w:r>
    </w:p>
    <w:p>
      <w:pPr/>
      <w:r>
        <w:rPr/>
        <w:t xml:space="preserve"> وجب أن تكون التدابير المتخذة لاحقاً في إطار مسطرة أجنبية غير رئيسية متوافقة معها،</w:t>
      </w:r>
    </w:p>
    <w:p>
      <w:pPr/>
      <w:r>
        <w:rPr>
          <w:shd w:val="clear" w:fill="eeee80"/>
        </w:rPr>
        <w:t xml:space="preserve"> طبقاً للمادتين 784 و786 من القانون رقم 73.</w:t>
      </w:r>
    </w:p>
    <w:p>
      <w:pPr/>
      <w:r>
        <w:rPr>
          <w:shd w:val="clear" w:fill="eeee80"/>
        </w:rPr>
        <w:t xml:space="preserve">17.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وفي الحالة التي يتم فيها الاعتراف بمسطرة أجنبية غير رئيسية ثم يتم لاحقاً الاعتراف بمسطرة أجنبية رئيسية،</w:t>
      </w:r>
    </w:p>
    <w:p>
      <w:pPr/>
      <w:r>
        <w:rPr>
          <w:shd w:val="clear" w:fill="eeee80"/>
        </w:rPr>
        <w:t xml:space="preserve"> بما يضمن انسجامها مع المسطرة الأجنبية الرئيسية.</w:t>
      </w:r>
    </w:p>
    <w:p>
      <w:pPr/>
      <w:r>
        <w:rPr/>
        <w:t xml:space="preserve"> أما إذا تعلق الأمر بمسطرتين أجنبيتين غير رئيسيتين، فعلى المحكمة مراعاة التنسيق بينهما عند اتخاذ أو إنهاء التدابير المتعلقة بهما.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2026-10-02T21:04:33+00:00</dcterms:created>
  <dcterms:modified xsi:type="dcterms:W3CDTF">2026-10-02T21:04:33+00:00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