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شعر ذو شطر واحد ليس له طول ثابت وإنما يصح أن يتغير عدد التفعيلات من شطر إلى شطر. ويكون هذا التغير وفق قانون عروضي متقن.</w:t>
      </w:r>
    </w:p>
    <w:p>
      <w:pPr/>
      <w:r>
        <w:rPr>
          <w:shd w:val="clear" w:fill="eeee80"/>
        </w:rPr>
        <w:t xml:space="preserve"> هكذا تكون الحرية في الشعر الحر هي حرية فقط في اختيار عدد التفعيلات وطول الأشطر وليس حرية في تغير نوع التفعيلة داخل القصيدة الواحدة.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2026-10-21T14:27:49+00:00</dcterms:created>
  <dcterms:modified xsi:type="dcterms:W3CDTF">2026-10-21T14:27:49+00:00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