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المدخرات التي تكون استجابتها ضعيفة التغيرات أسعار الفائدة قد اشار إليها الاقتصاديون على نطاق كبير بعد ثلاثينات القرن الماضي .</w:t>
      </w:r>
    </w:p>
    <w:p>
      <w:pPr/>
      <w:r>
        <w:rPr>
          <w:shd w:val="clear" w:fill="eeee80"/>
        </w:rPr>
        <w:t xml:space="preserve">و هذا يختلف عن الوضع الذي نقضي به النظرية الكلاسكية من ان سعر الفائدة هو العامل الهام المؤثر في مقدرات المدخرات .</w:t>
      </w:r>
    </w:p>
    <w:p>
      <w:pPr/>
      <w:r>
        <w:rPr>
          <w:shd w:val="clear" w:fill="eeee80"/>
        </w:rPr>
        <w:t xml:space="preserve">فقد نقل "كينز" اهتمام الاقتصاديين من سعر الفائدة الى الدخل كعامل اساسي في تحديد مقدار المدخرات الكلية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2026-09-19T08:17:18+00:00</dcterms:created>
  <dcterms:modified xsi:type="dcterms:W3CDTF">2026-09-19T08:17:18+00:00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