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Origins and Early Uses of HennaHenna, derived from the Lawsonia inermis plant, has roots tracing back thousands of years to ancient Egypt and the Middle East.This resurgence in popularity underscores a global appreciation of its aesthetic charm and cultural significance.Evolution of Henna Art Through the AgesOver centuries, henna designs evolved significantly, reflecting the artistic and socio-cultural shifts of various regions.Henna application sessions often become communal gatherings, fostering a sense of belonging and continuity of tradition, thus enhancing the social fabric of communities worldwide.Historically, it was employed not only for its aesthetic allure but also for its cooling properties and medicinal benefits.Early minimalist patterns gave way to intricate and elaborate motifs, influenced by religious, cultural, and cross-border exchanges.Islamic art introduced geometric patterns, while Indian traditions favored floral and paisley motifs.Today, it graces the hands and feet of brides in elaborate wedding ceremonies, serves as a temporary yet fashionable tattoo, and is even used in hair dye products.Social and Communal Role of Henna TodayHenna continues to play a vital social role in many cultures, especially during festivals and celebrations.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2026-09-26T09:28:25+00:00</dcterms:created>
  <dcterms:modified xsi:type="dcterms:W3CDTF">2026-09-26T09:28:25+00:00</dcterms:modified>
</cp:coreProperties>
</file>

<file path=docProps/custom.xml><?xml version="1.0" encoding="utf-8"?>
<Properties xmlns="http://schemas.openxmlformats.org/officeDocument/2006/custom-properties" xmlns:vt="http://schemas.openxmlformats.org/officeDocument/2006/docPropsVTypes"/>
</file>