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تطبيقات الويب مثل أي شيء آخر متصل مباشرة بشبكات الإنترنت، وبالتالي فمن المنطقي أنها تكون مهددة بالهجمات على أمنها السيبراني،</w:t>
      </w:r>
    </w:p>
    <w:p>
      <w:pPr/>
      <w:r>
        <w:rPr>
          <w:shd w:val="clear" w:fill="eeee80"/>
        </w:rPr>
        <w:t xml:space="preserve"> وهذا النوع من الأمن السيبراني يساعد الشركات والمؤسسات باكتشاف البيانات الحساسة التي يجب حمايتها من الهجمات المتوقعة،</w:t>
      </w:r>
    </w:p>
    <w:p>
      <w:pPr/>
      <w:r>
        <w:rPr/>
        <w:t xml:space="preserve"> من خلال برامج مضادات الفيروسات، وجدران الحماية، وعمليات تشفير المعلومات.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2026-10-21T08:58:42+00:00</dcterms:created>
  <dcterms:modified xsi:type="dcterms:W3CDTF">2026-10-21T08:58:42+00:00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