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إعطاء الأولوية والأهمية القصوى في توزيع الاستثمارات إلى قطاع الصناعة بنسبة (%49).</w:t>
      </w:r>
    </w:p>
    <w:p>
      <w:pPr/>
      <w:r>
        <w:rPr>
          <w:shd w:val="clear" w:fill="eeee80"/>
        </w:rPr>
        <w:t xml:space="preserve">- تنفيذ ما كان مخطط له في قطاع الصناعة بنسبة كبيرة قدرت بـ (%87).</w:t>
      </w:r>
    </w:p>
    <w:p>
      <w:pPr/>
      <w:r>
        <w:rPr>
          <w:shd w:val="clear" w:fill="eeee80"/>
        </w:rPr>
        <w:t xml:space="preserve">- ضعف المخصصات المالية المرصودة لبقية القطاعات الأخرى وخاصة قطاع (التربية،</w:t>
      </w:r>
    </w:p>
    <w:p>
      <w:pPr/>
      <w:r>
        <w:rPr>
          <w:shd w:val="clear" w:fill="eeee80"/>
        </w:rPr>
        <w:t xml:space="preserve"> بنسب متفاوتة قدرت بـ (،</w:t>
      </w:r>
    </w:p>
    <w:p>
      <w:pPr/>
      <w:r>
        <w:rPr>
          <w:shd w:val="clear" w:fill="eeee80"/>
        </w:rPr>
        <w:t xml:space="preserve">- ضعف الإنجازات المحققة في قطاع الهياكل الاجتماعية(السكن،</w:t>
      </w:r>
    </w:p>
    <w:p>
      <w:pPr/>
      <w:r>
        <w:rPr>
          <w:shd w:val="clear" w:fill="eeee80"/>
        </w:rPr>
        <w:t xml:space="preserve"> وبما أن قطاع الصناعة أخذ أكبر حصة في توزيع الاستثمارات سنحلل ونوضح نصيب</w:t>
      </w:r>
    </w:p>
    <w:p>
      <w:pPr/>
      <w:r>
        <w:rPr>
          <w:shd w:val="clear" w:fill="eeee80"/>
        </w:rPr>
        <w:t xml:space="preserve">الصناعات الأساسية المكونة للقطاع الصناعي من حيث الاستثمارات،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2026-09-04T17:14:43+00:00</dcterms:created>
  <dcterms:modified xsi:type="dcterms:W3CDTF">2026-09-04T17:14:43+00:00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