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رواد الأعمال وأصحاب المؤسسات الصغيرة والمتوسطة. 	•	العملاء الذين لا يستطيعون الحصول على تمويل من البنوك التقليدية.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