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وجود مستويين للادخار المستوى المجتمعي والمستوى الفردي: فبالنست للمجتمع يلاحظ أن ناتج الاقتصاد القومي خلال سنة معينة لا ينفق كليا)(فب اغلب الأحوال) على الأغراض الاستهلاكية الحالية بل يقتطع جزء منه ليكون الادخار القومي وعند هذا المستوى يكون الادخار القومى بمثابة تيار أو تدفق مرتبط يساوي</w:t>
      </w:r>
    </w:p>
    <w:p>
      <w:pPr/>
      <w:r>
        <w:rPr/>
        <w:t xml:space="preserve">الدخل القابل للتصرف فيه ناقصا الاستهلاك الخاص الكلى).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2026-10-18T14:59:36+00:00</dcterms:created>
  <dcterms:modified xsi:type="dcterms:W3CDTF">2026-10-18T14:59:36+00:00</dcterms:modified>
</cp:coreProperties>
</file>

<file path=docProps/custom.xml><?xml version="1.0" encoding="utf-8"?>
<Properties xmlns="http://schemas.openxmlformats.org/officeDocument/2006/custom-properties" xmlns:vt="http://schemas.openxmlformats.org/officeDocument/2006/docPropsVTypes"/>
</file>