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تَنطلق أهمية الدراسة من خلال الأهمية التي تَشغلها "الأسرار التجاريَّة والمعلومات غير المُفصَح عنها" كقيم معنويَّة للمشروعات التجاريَّة تَثور بشأنها كثير من المُنازعات؛</w:t>
      </w:r>
    </w:p>
    <w:p>
      <w:pPr/>
      <w:r>
        <w:rPr>
          <w:shd w:val="clear" w:fill="eeee80"/>
        </w:rPr>
        <w:t xml:space="preserve"> حيث يُعد نظام التَّحْكِيم من أهم النُّظم التي يَلجأ لها الخُصوم في هذه الحالة،</w:t>
      </w:r>
    </w:p>
    <w:p>
      <w:pPr/>
      <w:r>
        <w:rPr>
          <w:shd w:val="clear" w:fill="eeee80"/>
        </w:rPr>
        <w:t xml:space="preserve"> مما يَستدعي إزالة أي عقبات قد تحول دون مُمارسة الخُصوم لحقهم في اللُّجوء للتَحْكِيم،</w:t>
      </w:r>
    </w:p>
    <w:p>
      <w:pPr/>
      <w:r>
        <w:rPr>
          <w:shd w:val="clear" w:fill="eeee80"/>
        </w:rPr>
        <w:t xml:space="preserve"> الأمر الذي يتحقق عبر التَّطْوير التَّشْرِيعي للنصوص التَّحْكِيميَّة الوطنيَّة والدوليَّة،</w:t>
      </w:r>
    </w:p>
    <w:p>
      <w:pPr/>
      <w:r>
        <w:rPr>
          <w:shd w:val="clear" w:fill="eeee80"/>
        </w:rPr>
        <w:t xml:space="preserve"> كما تَنطلق أهمية الدراسة في أنها من الدراسات القليلة التي جاءت في سياق مُعالجة تَشْرِيعيَّة للوقوف على أهم الإشكاليات التي تَتعلق بالتَّحْكِيم في فض النِّزاعات "لحماية المعلومات والأسرار التجاريَّة" كدراسة مقارنة بين القانون الإماراتي والتَّشْرِيع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2026-10-20T05:55:01+00:00</dcterms:created>
  <dcterms:modified xsi:type="dcterms:W3CDTF">2026-10-20T05:55:01+00:00</dcterms:modified>
</cp:coreProperties>
</file>

<file path=docProps/custom.xml><?xml version="1.0" encoding="utf-8"?>
<Properties xmlns="http://schemas.openxmlformats.org/officeDocument/2006/custom-properties" xmlns:vt="http://schemas.openxmlformats.org/officeDocument/2006/docPropsVTypes"/>
</file>