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غسل الأموال يُضعف السيادة المالية والاقتصادية للدولة،</w:t>
      </w:r>
    </w:p>
    <w:p>
      <w:pPr/>
      <w:r>
        <w:rPr/>
        <w:t xml:space="preserve"> ويزعزع استقرار النظام المالي والمصرفي.</w:t>
      </w:r>
    </w:p>
    <w:p>
      <w:pPr/>
      <w:r>
        <w:rPr>
          <w:shd w:val="clear" w:fill="eeee80"/>
        </w:rPr>
        <w:t xml:space="preserve"> هذا يؤدي إلى تآكل الإيرادات الضريبية وانخفاض الشفافية المالية،</w:t>
      </w:r>
    </w:p>
    <w:p>
      <w:pPr/>
      <w:r>
        <w:rPr/>
        <w:t xml:space="preserve"> مما يزيد من المخاطر التشغيلية والسمعية للمؤسسات المالية تحت إشراف وزارة المالية. تضطلع وزارة المالية بدور محوري في وضع التشريعات والسياسات الوطنية لمكافحة غسل الأموال،</w:t>
      </w:r>
    </w:p>
    <w:p>
      <w:pPr/>
      <w:r>
        <w:rPr>
          <w:shd w:val="clear" w:fill="eeee80"/>
        </w:rPr>
        <w:t xml:space="preserve"> وتنظيم وإشراف على المؤسسات المالية.</w:t>
      </w:r>
    </w:p>
    <w:p>
      <w:pPr/>
      <w:r>
        <w:rPr>
          <w:shd w:val="clear" w:fill="eeee80"/>
        </w:rPr>
        <w:t xml:space="preserve"> كما تعمل على تعزيز الشفافية والنزاهة في القطاع المالي وبناء القدرات المؤسسية في هذا المجال.</w:t>
      </w:r>
    </w:p>
    <w:p>
      <w:pPr/>
      <w:r>
        <w:rPr>
          <w:shd w:val="clear" w:fill="eeee80"/>
        </w:rPr>
        <w:t xml:space="preserve"> تسعى وزارة المالية إلى حماية النظام المالي والاقتصادي للدولة من مخاطر غسل الأموال والحفاظ على سيادتها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2026-09-30T00:34:42+00:00</dcterms:created>
  <dcterms:modified xsi:type="dcterms:W3CDTF">2026-09-30T00:34:42+00:00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