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مهارات الكاتب وثقافته</w:t>
      </w:r>
    </w:p>
    <w:p>
      <w:pPr/>
      <w:r>
        <w:rPr>
          <w:shd w:val="clear" w:fill="eeee80"/>
        </w:rPr>
        <w:t xml:space="preserve">بمتلك الكاتب مهارات الكتابة بثقافته وقدرته اللغوية والفكرية ،</w:t>
      </w:r>
    </w:p>
    <w:p>
      <w:pPr/>
      <w:r>
        <w:rPr/>
        <w:t xml:space="preserve"> ومعرفته بتاريخ العرب،</w:t>
      </w:r>
    </w:p>
    <w:p>
      <w:pPr/>
      <w:r>
        <w:rPr>
          <w:shd w:val="clear" w:fill="eeee80"/>
        </w:rPr>
        <w:t xml:space="preserve">فعلى الكاتب إذا أراد أن يكون مؤثرًا في المجتمع ،</w:t>
      </w:r>
    </w:p>
    <w:p>
      <w:pPr/>
      <w:r>
        <w:rPr>
          <w:shd w:val="clear" w:fill="eeee80"/>
        </w:rPr>
        <w:t xml:space="preserve"> مطالعة تصانيف البلغاء بالتأني والتبصير فيها،</w:t>
      </w:r>
    </w:p>
    <w:p>
      <w:pPr/>
      <w:r>
        <w:rPr>
          <w:shd w:val="clear" w:fill="eeee80"/>
        </w:rPr>
        <w:t xml:space="preserve"> بحيث يفيد منها عند الضرورة،</w:t>
      </w:r>
    </w:p>
    <w:p>
      <w:pPr/>
      <w:r>
        <w:rPr>
          <w:shd w:val="clear" w:fill="eeee80"/>
        </w:rPr>
        <w:t xml:space="preserve"> وقد وضع العلماء السابقون بعض المؤلفات التي تعين الكاتب على الاستزادة في علوم الكتابة ومعارفها وثقافتها ومهاراتها،</w:t>
      </w:r>
    </w:p>
    <w:p>
      <w:pPr/>
      <w:r>
        <w:rPr>
          <w:shd w:val="clear" w:fill="eeee80"/>
        </w:rPr>
        <w:t xml:space="preserve">كتاب (أدب الكاتب) لابن قتيبة(٢٧٦هـ) ،</w:t>
      </w:r>
    </w:p>
    <w:p>
      <w:pPr/>
      <w:r>
        <w:rPr>
          <w:shd w:val="clear" w:fill="eeee80"/>
        </w:rPr>
        <w:t xml:space="preserve"> وهو خاص بما يلزم الكاتب من لغة ونحو وصرف وإملاء.</w:t>
      </w:r>
    </w:p>
    <w:p>
      <w:pPr/>
      <w:r>
        <w:rPr>
          <w:shd w:val="clear" w:fill="eeee80"/>
        </w:rPr>
        <w:t xml:space="preserve"> وكتاب (أدب الكُتّاب) لأبي بكر الصولي (٣٣٥هـ)،</w:t>
      </w:r>
    </w:p>
    <w:p>
      <w:pPr/>
      <w:r>
        <w:rPr>
          <w:shd w:val="clear" w:fill="eeee80"/>
        </w:rPr>
        <w:t xml:space="preserve"> وقد توسع في مسائل لم يتعرض لها ابن قتيبة،</w:t>
      </w:r>
    </w:p>
    <w:p>
      <w:pPr/>
      <w:r>
        <w:rPr/>
        <w:t xml:space="preserve"> فتكلم عن حسن الخط وقبحه،</w:t>
      </w:r>
    </w:p>
    <w:p>
      <w:pPr/>
      <w:r>
        <w:rPr>
          <w:shd w:val="clear" w:fill="eeee80"/>
        </w:rPr>
        <w:t xml:space="preserve"> وشيء من قواعد الرسم الكتابي.</w:t>
      </w:r>
    </w:p>
    <w:p>
      <w:pPr/>
      <w:r>
        <w:rPr/>
        <w:t xml:space="preserve"> وكتاب (صبح الأعشى في صناعة الإنشا) للقلقشندي (٨٢١هـ)،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2026-10-25T00:39:08+00:00</dcterms:created>
  <dcterms:modified xsi:type="dcterms:W3CDTF">2026-10-25T00:39:08+00:00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