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دراسة الجدوى أنواع كثيرة تندرج تحت قسمين أساسيين هما :</w:t>
      </w:r>
    </w:p>
    <w:p>
      <w:pPr/>
      <w:r>
        <w:rPr>
          <w:shd w:val="clear" w:fill="eeee80"/>
        </w:rPr>
        <w:t xml:space="preserve">• دراسة أولية </w:t>
      </w:r>
    </w:p>
    <w:p>
      <w:pPr/>
      <w:r>
        <w:rPr/>
        <w:t xml:space="preserve">تشمل الخطوط العامة عن كافة جوانب المشروع المقترح،</w:t>
      </w:r>
    </w:p>
    <w:p>
      <w:pPr/>
      <w:r>
        <w:rPr>
          <w:shd w:val="clear" w:fill="eeee80"/>
        </w:rPr>
        <w:t xml:space="preserve">قرار؛</w:t>
      </w:r>
    </w:p>
    <w:p>
      <w:pPr/>
      <w:r>
        <w:rPr>
          <w:shd w:val="clear" w:fill="eeee80"/>
        </w:rPr>
        <w:t xml:space="preserve"> إما بالتخلي عن المشروع أو الانتقال إلى دراسة أ كثر تفصيلاً.</w:t>
      </w:r>
    </w:p>
    <w:p>
      <w:pPr/>
      <w:r>
        <w:rPr>
          <w:shd w:val="clear" w:fill="eeee80"/>
        </w:rPr>
        <w:t xml:space="preserve"> وتعالج أيضًا الدراسة الأولية مسائل متنوعة؛</w:t>
      </w:r>
    </w:p>
    <w:p>
      <w:pPr/>
      <w:r>
        <w:rPr/>
        <w:t xml:space="preserve">منها الطلب المحلي والأجنبي المتوقع على منتجات المشروع،للمشروع،</w:t>
      </w:r>
    </w:p>
    <w:p>
      <w:pPr/>
      <w:r>
        <w:rPr>
          <w:shd w:val="clear" w:fill="eeee80"/>
        </w:rPr>
        <w:t xml:space="preserve">التمويل الخارجي أو ذاتي،</w:t>
      </w:r>
    </w:p>
    <w:p>
      <w:pPr/>
      <w:r>
        <w:rPr>
          <w:shd w:val="clear" w:fill="eeee80"/>
        </w:rPr>
        <w:t xml:space="preserve"> وستشمل الدراسة العوائد المتوقعة،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2026-08-25T05:29:45+00:00</dcterms:created>
  <dcterms:modified xsi:type="dcterms:W3CDTF">2026-08-25T05:29:45+00:00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