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shd w:val="clear" w:fill="eeee80"/>
        </w:rPr>
        <w:t xml:space="preserve">•	النظرية تدرس تأثير وسائل الإعلام على الأفراد والمجتمعات،</w:t>
      </w:r>
    </w:p>
    <w:p>
      <w:pPr/>
      <w:r>
        <w:rPr>
          <w:shd w:val="clear" w:fill="eeee80"/>
        </w:rPr>
        <w:t xml:space="preserve"> حيث تلعب دورًا مهمًا في تشكيل المعرفة والعواطف والسلوك.</w:t>
      </w:r>
    </w:p>
    <w:p>
      <w:pPr/>
      <w:r>
        <w:rPr>
          <w:shd w:val="clear" w:fill="eeee80"/>
        </w:rPr>
        <w:t xml:space="preserve">•	يزداد تأثير وسائل الإعلام في الأزمات والفوضى،</w:t>
      </w:r>
    </w:p>
    <w:p>
      <w:pPr/>
      <w:r>
        <w:rPr/>
        <w:t xml:space="preserve"> حيث يعتمد الجمهور عليها لفهم الواقع.</w:t>
      </w:r>
    </w:p>
    <w:p>
      <w:pPr/>
      <w:r>
        <w:rPr>
          <w:shd w:val="clear" w:fill="eeee80"/>
        </w:rPr>
        <w:t xml:space="preserve">•	تختلف قوة التأثير بين المجتمعات المستقرة والمضطربة،</w:t>
      </w:r>
    </w:p>
    <w:p>
      <w:pPr/>
      <w:r>
        <w:rPr>
          <w:shd w:val="clear" w:fill="eeee80"/>
        </w:rPr>
        <w:t xml:space="preserve"> حيث يكون التأثير ضعيفًا في الأوقات المستقرة وقويًا في الأوقات الحرجة.</w:t>
      </w:r>
    </w:p>
    <w:p>
      <w:pPr/>
      <w:r>
        <w:rPr>
          <w:shd w:val="clear" w:fill="eeee80"/>
        </w:rPr>
        <w:t xml:space="preserve">•	كما تشير النظرية إلى أن أهداف الأفراد ومصالحهم تؤثر على درجة اعتمادهم على وسائل الإعلام،</w:t>
      </w:r>
    </w:p>
    <w:p>
      <w:pPr/>
      <w:r>
        <w:rPr>
          <w:shd w:val="clear" w:fill="eeee80"/>
        </w:rPr>
        <w:t xml:space="preserve"> مما يؤدي إلى تفاوت في التعرض لها بناءً على الأهداف الفردية.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2026-08-20T10:42:12+00:00</dcterms:created>
  <dcterms:modified xsi:type="dcterms:W3CDTF">2026-08-20T10:42:12+00:00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