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النوع الأول: حيث يطلب إلى جميع الطلبة تنفيذ المشروع نفسه كلا على حدة.</w:t>
      </w:r>
    </w:p>
    <w:p>
      <w:pPr/>
      <w:r>
        <w:rPr>
          <w:shd w:val="clear" w:fill="eeee80"/>
        </w:rPr>
        <w:t xml:space="preserve"> كان يطلب إلى كل منهم أن يرسم خارطة الوطن العربي،</w:t>
      </w:r>
    </w:p>
    <w:p>
      <w:pPr/>
      <w:r>
        <w:rPr>
          <w:shd w:val="clear" w:fill="eeee80"/>
        </w:rPr>
        <w:t xml:space="preserve"> أو أن يلخص كتابا معينا من مكتبة المدرسة يحدده المعلم.</w:t>
      </w:r>
    </w:p>
    <w:p>
      <w:pPr/>
      <w:r>
        <w:rPr>
          <w:shd w:val="clear" w:fill="eeee80"/>
        </w:rPr>
        <w:t xml:space="preserve"> أما النوع الثاني من المشروعات الفردية فهو عندما يقوم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2026-10-19T03:43:19+00:00</dcterms:created>
  <dcterms:modified xsi:type="dcterms:W3CDTF">2026-10-19T03:43:19+00:00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