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علماء العصر الذهبي الإسلامي،</w:t>
      </w:r>
    </w:p>
    <w:p>
      <w:pPr/>
      <w:r>
        <w:rPr>
          <w:shd w:val="clear" w:fill="eeee80"/>
        </w:rPr>
        <w:t xml:space="preserve"> كانوا من الرواد في استخدام المنهجية العلمية التجريبية،</w:t>
      </w:r>
    </w:p>
    <w:p>
      <w:pPr/>
      <w:r>
        <w:rPr>
          <w:shd w:val="clear" w:fill="eeee80"/>
        </w:rPr>
        <w:t xml:space="preserve"> والتي تُعتبر أساسية في تطوير البرمجيات الحاسوبية اليوم.</w:t>
      </w:r>
    </w:p>
    <w:p>
      <w:pPr/>
      <w:r>
        <w:rPr/>
        <w:t xml:space="preserve"> الابتكار في العلوم الإسلامية قدم أسسًا للتفكير التحليلي والمنهجي،</w:t>
      </w:r>
    </w:p>
    <w:p>
      <w:pPr/>
      <w:r>
        <w:rPr>
          <w:shd w:val="clear" w:fill="eeee80"/>
        </w:rPr>
        <w:t xml:space="preserve"> وهو ما يُعد ضروريًا في تصميم الأنظمة الحاسوبية المعقدة.</w:t>
      </w:r>
    </w:p>
    <w:p>
      <w:pPr/>
      <w:r>
        <w:rPr/>
        <w:t xml:space="preserve"> استخدام الخوارزميات والمنطق في الحوسبة يُعَدّ امتدادًا مباشرًا للأعمال التي بدأت في الثقافة الإسلامية.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2026-10-18T17:12:32+00:00</dcterms:created>
  <dcterms:modified xsi:type="dcterms:W3CDTF">2026-10-18T17:12:32+00:00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