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أبعاد القيادة الأخلاقية،</w:t>
      </w:r>
    </w:p>
    <w:p>
      <w:pPr/>
      <w:r>
        <w:rPr>
          <w:shd w:val="clear" w:fill="eeee80"/>
        </w:rPr>
        <w:t xml:space="preserve"> وروح العمل الجماعي،</w:t>
      </w:r>
    </w:p>
    <w:p>
      <w:pPr/>
      <w:r>
        <w:rPr>
          <w:shd w:val="clear" w:fill="eeee80"/>
        </w:rPr>
        <w:t xml:space="preserve"> تأثيراً على أبعاد خلق المعرفة (التنشئة الاجتماعية،</w:t>
      </w:r>
    </w:p>
    <w:p>
      <w:pPr/>
      <w:r>
        <w:rPr/>
        <w:t xml:space="preserve"> واختلف ترتيب الأهمية والتأثير عبر الأبعاد.</w:t>
      </w:r>
    </w:p>
    <w:p>
      <w:pPr/>
      <w:r>
        <w:rPr>
          <w:shd w:val="clear" w:fill="eeee80"/>
        </w:rPr>
        <w:t xml:space="preserve">2. احتل بعد الصفات الشخصية المرتبة الرابعة في التأثير على التنشئة الاجتماعية،</w:t>
      </w:r>
    </w:p>
    <w:p>
      <w:pPr/>
      <w:r>
        <w:rPr>
          <w:shd w:val="clear" w:fill="eeee80"/>
        </w:rPr>
        <w:t xml:space="preserve"> والأول في التأثير على الجمع،</w:t>
      </w:r>
    </w:p>
    <w:p>
      <w:pPr/>
      <w:r>
        <w:rPr>
          <w:shd w:val="clear" w:fill="eeee80"/>
        </w:rPr>
        <w:t xml:space="preserve">3. احتل بعد الصفات الإدارية المرتبة الثانية في التأثير على بعد التنشئة الاجتماعية والأول في التأثير على بعدي التخريج والداخلية.</w:t>
      </w:r>
    </w:p>
    <w:p>
      <w:pPr/>
      <w:r>
        <w:rPr>
          <w:shd w:val="clear" w:fill="eeee80"/>
        </w:rPr>
        <w:t xml:space="preserve">4. احتل بعد العلاقات الإنسانية المرتبة الأولى في التأثير في بعد التنشئة الاجتماعية،</w:t>
      </w:r>
    </w:p>
    <w:p>
      <w:pPr/>
      <w:r>
        <w:rPr>
          <w:shd w:val="clear" w:fill="eeee80"/>
        </w:rPr>
        <w:t xml:space="preserve"> والثالث في التأثير في بعدي التخريج والدمج،</w:t>
      </w:r>
    </w:p>
    <w:p>
      <w:pPr/>
      <w:r>
        <w:rPr>
          <w:shd w:val="clear" w:fill="eeee80"/>
        </w:rPr>
        <w:t xml:space="preserve">5. احتل بعد روح العمل الجماعي المرتبة الثالثة في التأثير على بعد التنشئة الاجتماعية،</w:t>
      </w:r>
    </w:p>
    <w:p>
      <w:pPr/>
      <w:r>
        <w:rPr>
          <w:shd w:val="clear" w:fill="eeee80"/>
        </w:rPr>
        <w:t xml:space="preserve"> والرابع في التأثير على البعد الخارجي،</w:t>
      </w:r>
    </w:p>
    <w:p>
      <w:pPr/>
      <w:r>
        <w:rPr>
          <w:shd w:val="clear" w:fill="eeee80"/>
        </w:rPr>
        <w:t xml:space="preserve"> والثاني في التأثير على بعدي الاندماج والداخلية.</w:t>
      </w:r>
    </w:p>
    <w:p>
      <w:pPr/>
      <w:r>
        <w:rPr>
          <w:shd w:val="clear" w:fill="eeee80"/>
        </w:rPr>
        <w:t xml:space="preserve">1. التأكيد على العلاقة القوية بين القيادة الأخلاقية وخلق المعرفة والاستفادة من الأثر الإيجابي للقيادة الأخلاقية على خلق المعرفة في البنوك في جمهورية مصر العربية.</w:t>
      </w:r>
    </w:p>
    <w:p>
      <w:pPr/>
      <w:r>
        <w:rPr/>
        <w:t xml:space="preserve">2. تشجيع الأفراد ذوي الأفكار الإبداعية لتعزيز تطوير العمل وتقديم الخدمات بطرق جديدة ومميزة في الأنظمة والأساليب.</w:t>
      </w:r>
    </w:p>
    <w:p>
      <w:pPr/>
      <w:r>
        <w:rPr>
          <w:shd w:val="clear" w:fill="eeee80"/>
        </w:rPr>
        <w:t xml:space="preserve"> توفير الموارد اللازمة لتطوير وتعزيز قدرات الموظفين المتنوعة على الابتكار والتجديد والتغيير في العمل المصرفي.</w:t>
      </w:r>
    </w:p>
    <w:p>
      <w:pPr/>
      <w:r>
        <w:rPr>
          <w:shd w:val="clear" w:fill="eeee80"/>
        </w:rPr>
        <w:t xml:space="preserve">3. على البنوك المبادرة بتوفير الأنظمة والآليات اللازمة لزيادة مستوى الاستفادة من التطورات العلمية وتحسين وتطوير العمل وتحقيق الجودة والسرعة المطلوبة في تقديم الخدمات المصرفية.</w:t>
      </w:r>
    </w:p>
    <w:p>
      <w:pPr/>
      <w:r>
        <w:rPr>
          <w:shd w:val="clear" w:fill="eeee80"/>
        </w:rPr>
        <w:t xml:space="preserve">4. التركيز على إعداد البرامج المتنوعة التي تولد قدرات جديدة لدى الموظفين مما يساهم في زيادة الكفاءة في إنجاز المهام.</w:t>
      </w:r>
    </w:p>
    <w:p>
      <w:pPr/>
      <w:r>
        <w:rPr/>
        <w:t xml:space="preserve"> كما يجب على البنوك توفير الموارد والوسائل التي تشجع وتعزز جاهزية الموظفين لتقديم الخدمات بطرق جديدة ومتميزة.5. تقييم رضا العملاء عن الخدمات المصرفية، مع قيام البنوك بإجراء دراسات لفهم احتياجات العملاء الحالية والمستقبلية. إنشاء نظام واضح ومحدد لقياس وتقييم رضا العملاء عن جودة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2026-10-20T04:16:47+00:00</dcterms:created>
  <dcterms:modified xsi:type="dcterms:W3CDTF">2026-10-20T04:16:47+00:00</dcterms:modified>
</cp:coreProperties>
</file>

<file path=docProps/custom.xml><?xml version="1.0" encoding="utf-8"?>
<Properties xmlns="http://schemas.openxmlformats.org/officeDocument/2006/custom-properties" xmlns:vt="http://schemas.openxmlformats.org/officeDocument/2006/docPropsVTypes"/>
</file>