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إقرار نماذج المتابعة والتقويم المطلوبة من مشرفي جماعات النشاط</w:t>
      </w:r>
    </w:p>
    <w:p>
      <w:pPr/>
      <w:r>
        <w:rPr>
          <w:shd w:val="clear" w:fill="eeee80"/>
        </w:rPr>
        <w:t xml:space="preserve">توزيع المعلمين للإشراف على جماعات النشاط المختارة كل في مجال تخصصه قدر الإمكان واختيار ذوي الميول للإشراف على جماعات النشاط العام على أن تحدد مهامهم بالتالية .</w:t>
      </w:r>
    </w:p>
    <w:p>
      <w:pPr/>
      <w:r>
        <w:rPr>
          <w:shd w:val="clear" w:fill="eeee80"/>
        </w:rPr>
        <w:t xml:space="preserve">وضع خطة تنفيذ نشاط الجماعة التي أسند لهم الإشراف عليها ويتم إقرارها من مجلس النشاط بالمدرسة وعمل النماذج اللازمة للمتابعة والتقويم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2026-08-28T09:37:20+00:00</dcterms:created>
  <dcterms:modified xsi:type="dcterms:W3CDTF">2026-08-28T09:37:20+00:00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