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إذا كانت فرنسا لم تخلق بعد كرسيا للأدب المقارن و اكتفت جامعاتها بتدريس الأدب الأجنبي،</w:t>
      </w:r>
    </w:p>
    <w:p>
      <w:pPr/>
      <w:r>
        <w:rPr>
          <w:shd w:val="clear" w:fill="eeee80"/>
        </w:rPr>
        <w:t xml:space="preserve"> فإن سويسرا التي سينتقل إليها مركز الأهمية خاصة و هي تشهد ميلاد أعمال مثل من أدب وسط أوربا لسيسموندي،</w:t>
      </w:r>
    </w:p>
    <w:p>
      <w:pPr/>
      <w:r>
        <w:rPr>
          <w:shd w:val="clear" w:fill="eeee80"/>
        </w:rPr>
        <w:t xml:space="preserve"> قد دعت لوزان جوزيف هورنوج Joseph Hornung مؤرخ التشريع المقارن لإلقاء فصل دراسي في الأدب المقارن في جامعة جنيف ابتداء من 1850م،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2026-10-11T09:18:54+00:00</dcterms:created>
  <dcterms:modified xsi:type="dcterms:W3CDTF">2026-10-11T09:18:54+00:00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