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إشكالية البحث: "كيف ساهمت نظريتا القيم الدولية والتوازن التلقائي،</w:t>
      </w:r>
    </w:p>
    <w:p>
      <w:pPr/>
      <w:r>
        <w:rPr>
          <w:shd w:val="clear" w:fill="eeee80"/>
        </w:rPr>
        <w:t xml:space="preserve"> كما قدمتهما المدرسة الكلاسيكية،</w:t>
      </w:r>
    </w:p>
    <w:p>
      <w:pPr/>
      <w:r>
        <w:rPr>
          <w:shd w:val="clear" w:fill="eeee80"/>
        </w:rPr>
        <w:t xml:space="preserve"> في تشكيل وفهم العلاقات التجارية والتوازن الاقتصادي خلال فترة ظهور المدرسة الكلاسيكية؟ وهل كانت هذه النظريات كافية لتحقيق استقرار اقتصادي دولي في ظل الظروف الاقتصادية والسياسية في ذلك العصر؟"</w:t>
      </w:r>
    </w:p>
    <w:p>
      <w:pPr/>
      <w:r>
        <w:rPr>
          <w:shd w:val="clear" w:fill="eeee80"/>
        </w:rPr>
        <w:t xml:space="preserve">فرضية البحث: "لقد استطاعت نظريتا القيم الدولية والتوازن التلقائي،</w:t>
      </w:r>
    </w:p>
    <w:p>
      <w:pPr/>
      <w:r>
        <w:rPr>
          <w:shd w:val="clear" w:fill="eeee80"/>
        </w:rPr>
        <w:t xml:space="preserve"> وفقاً لمنظور المدرسة الكلاسيكية،</w:t>
      </w:r>
    </w:p>
    <w:p>
      <w:pPr/>
      <w:r>
        <w:rPr>
          <w:shd w:val="clear" w:fill="eeee80"/>
        </w:rPr>
        <w:t xml:space="preserve"> توفير تفسير منطقي للعلاقات التجارية وتحقيق نوع من التوازن الاقتصادي في ظل الإمكانيات المحدودة والمعطيات الاقتصادية لعصرها،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2026-09-13T19:24:27+00:00</dcterms:created>
  <dcterms:modified xsi:type="dcterms:W3CDTF">2026-09-13T19:24:27+00:00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