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الثقة على المدى الطويل</w:t>
      </w:r>
    </w:p>
    <w:p>
      <w:pPr/>
      <w:r>
        <w:rPr>
          <w:shd w:val="clear" w:fill="eeee80"/>
        </w:rPr>
        <w:t xml:space="preserve">بالنسبة لأي شركة،</w:t>
      </w:r>
    </w:p>
    <w:p>
      <w:pPr/>
      <w:r>
        <w:rPr/>
        <w:t xml:space="preserve"> بعد ضمان الاستدامة على المدى الطويل أمرا ضروريا للحفاظ على الصورة العامة ومعنويات الشركة تعاني تسلا،</w:t>
      </w:r>
    </w:p>
    <w:p>
      <w:pPr/>
      <w:r>
        <w:rPr>
          <w:shd w:val="clear" w:fill="eeee80"/>
        </w:rPr>
        <w:t xml:space="preserve"> بسبب ظروف التصنيع غير المستقرة،</w:t>
      </w:r>
    </w:p>
    <w:p>
      <w:pPr/>
      <w:r>
        <w:rPr/>
        <w:t xml:space="preserve"> من عدم التصديق بين الجمهور بشأن وجودها على المدى الطويل،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2026-10-18T21:20:24+00:00</dcterms:created>
  <dcterms:modified xsi:type="dcterms:W3CDTF">2026-10-18T21:20:24+00:00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