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تفتح البنوك الإسلامية حسابات لها في البنوك التقليدية :</w:t>
      </w:r>
    </w:p>
    <w:p>
      <w:pPr/>
      <w:r>
        <w:rPr>
          <w:shd w:val="clear" w:fill="eeee80"/>
        </w:rPr>
        <w:t xml:space="preserve">لا مانع شرعا من تعامل البنك الإسلامي مع التقليدي شرط أن تكون العقود شرعية.</w:t>
      </w:r>
    </w:p>
    <w:p>
      <w:pPr/>
      <w:r>
        <w:rPr>
          <w:shd w:val="clear" w:fill="eeee80"/>
        </w:rPr>
        <w:t xml:space="preserve"> وتفتح البنوك فيما بينها حسابات جارية لدى البنوك الأخرى لتحصيل الرسوم ودفع الديون وسداد المستحقات على زبائن البنك الإسلامي وتحويل الأموال وغيرها التسريع العمليات،</w:t>
      </w:r>
    </w:p>
    <w:p>
      <w:pPr/>
      <w:r>
        <w:rPr/>
        <w:t xml:space="preserve"> ومن المعلوم أن الحساب الجاري لا يدفع فيه فوائد أو أرباح عليه.</w:t>
      </w:r>
    </w:p>
    <w:p>
      <w:pPr/>
      <w:r>
        <w:rPr>
          <w:shd w:val="clear" w:fill="eeee80"/>
        </w:rPr>
        <w:t xml:space="preserve"> وفي حالة استلام البنك الإسلامي لأي فوالد فيجب عليه التخلص منها لحساب الأخيرة.</w:t>
      </w:r>
    </w:p>
    <w:p>
      <w:pPr/>
      <w:r>
        <w:rPr>
          <w:shd w:val="clear" w:fill="eeee80"/>
        </w:rPr>
        <w:t xml:space="preserve">	تتعامل البنوك الإسلامية مع البنوك التقليدية في بعض الأحيان:</w:t>
      </w:r>
    </w:p>
    <w:p>
      <w:pPr/>
      <w:r>
        <w:rPr>
          <w:shd w:val="clear" w:fill="eeee80"/>
        </w:rPr>
        <w:t xml:space="preserve">يمكن أن يتعامل البنك الإسلامي مع التقليدي في مشاريع الإعمار والبناء وغيرها على أن تكون العقود والمشاريع لا تخالف أحكام الشريعة الإسلامية.</w:t>
      </w:r>
    </w:p>
    <w:p>
      <w:pPr/>
      <w:r>
        <w:rPr>
          <w:shd w:val="clear" w:fill="eeee80"/>
        </w:rPr>
        <w:t xml:space="preserve">	تستعين البنوك الإسلامية بسعر الفائدة العالمي:</w:t>
      </w:r>
    </w:p>
    <w:p>
      <w:pPr/>
      <w:r>
        <w:rPr>
          <w:shd w:val="clear" w:fill="eeee80"/>
        </w:rPr>
        <w:t xml:space="preserve">لا تتعامل البنوك الإسلامية بسعر الفائدة،</w:t>
      </w:r>
    </w:p>
    <w:p>
      <w:pPr/>
      <w:r>
        <w:rPr>
          <w:shd w:val="clear" w:fill="eeee80"/>
        </w:rPr>
        <w:t xml:space="preserve"> وإنما تستأنس بمعيار أسعار الفائدة للسوق العالمية لتحديد أسعارها لكونها مرتبطة به،</w:t>
      </w:r>
    </w:p>
    <w:p>
      <w:pPr/>
      <w:r>
        <w:rPr>
          <w:shd w:val="clear" w:fill="eeee80"/>
        </w:rPr>
        <w:t xml:space="preserve"> وحتى لا تؤثر على السوق برفع الأسعار فيتضرر الزبائن بخفضها فتضر بالبنوك الأخرى المنافسة،</w:t>
      </w:r>
    </w:p>
    <w:p>
      <w:pPr/>
      <w:r>
        <w:rPr>
          <w:shd w:val="clear" w:fill="eeee80"/>
        </w:rPr>
        <w:t xml:space="preserve"> لكن يبقى النظام التعاقدي مع الزبائن نظاما شرعيا لا غبار عليه،</w:t>
      </w:r>
    </w:p>
    <w:p>
      <w:pPr/>
      <w:r>
        <w:rPr>
          <w:shd w:val="clear" w:fill="eeee80"/>
        </w:rPr>
        <w:t xml:space="preserve"> ووجود معيار عالمي مقبول من الجميع لا مانع من استخدامه لحساب الأرباح وما شابه ذلك.</w:t>
      </w:r>
    </w:p>
    <w:p>
      <w:pPr/>
      <w:r>
        <w:rPr>
          <w:shd w:val="clear" w:fill="eeee80"/>
        </w:rPr>
        <w:t xml:space="preserve">	البنوك الإسلامية تساهم في وقوع الأفراد في مصيدة الديون:</w:t>
      </w:r>
    </w:p>
    <w:p>
      <w:pPr/>
      <w:r>
        <w:rPr>
          <w:shd w:val="clear" w:fill="eeee80"/>
        </w:rPr>
        <w:t xml:space="preserve">البنوك الإسلامية بصفتها مؤسسات ربحية تسعى للتربح من التمويلات،</w:t>
      </w:r>
    </w:p>
    <w:p>
      <w:pPr/>
      <w:r>
        <w:rPr>
          <w:shd w:val="clear" w:fill="eeee80"/>
        </w:rPr>
        <w:t xml:space="preserve"> وعلى طالب الدين أن يدرس وضعه المالي قبل طلب التمويل.</w:t>
      </w:r>
    </w:p>
    <w:p>
      <w:pPr/>
      <w:r>
        <w:rPr>
          <w:shd w:val="clear" w:fill="eeee80"/>
        </w:rPr>
        <w:t xml:space="preserve"> كما أن البنوك الإسلامية مطالبة بأن تنافس نظيرتها التقليدية في التمويل لتشجيع المتمولين على التمويل الإسلامي وتوفير البدائل الشرعية لهم.</w:t>
      </w:r>
    </w:p>
    <w:p>
      <w:pPr/>
      <w:r>
        <w:rPr>
          <w:shd w:val="clear" w:fill="eeee80"/>
        </w:rPr>
        <w:t xml:space="preserve"> ومع هذا فعلى البنوك الإسلامية جزء من مسؤولية توفير الوعي لدى الأفراد بخطورة الاستدانة من غير سبب أو المبالغة في ذلك.</w:t>
      </w:r>
    </w:p>
    <w:p>
      <w:pPr/>
      <w:r>
        <w:rPr>
          <w:shd w:val="clear" w:fill="eeee80"/>
        </w:rPr>
        <w:t xml:space="preserve">وإن المصارف الإسلامية هي الوحيدة التي تنصح في بعض شروطها وأحكامها بعدم الإسراف في الصرف والاستهلاك إلا بمقدار الحاجة والقدرة على السداد في الوقت المحدد.</w:t>
      </w:r>
    </w:p>
    <w:p>
      <w:pPr/>
      <w:r>
        <w:rPr>
          <w:shd w:val="clear" w:fill="eeee80"/>
        </w:rPr>
        <w:t xml:space="preserve">لا تتدخل البنوك الإسلامية في رغبات المستهلكين،</w:t>
      </w:r>
    </w:p>
    <w:p>
      <w:pPr/>
      <w:r>
        <w:rPr/>
        <w:t xml:space="preserve"> وثقافة الاستهلاك والبحث عن الكماليات أصبحت منتشرة منذ زمن،</w:t>
      </w:r>
    </w:p>
    <w:p>
      <w:pPr/>
      <w:r>
        <w:rPr>
          <w:shd w:val="clear" w:fill="eeee80"/>
        </w:rPr>
        <w:t xml:space="preserve"> ومن غير المقبول أن تطالب البنوك الإسلامية بحل هذه المشكلة أو تحميلها إياها،</w:t>
      </w:r>
    </w:p>
    <w:p>
      <w:pPr/>
      <w:r>
        <w:rPr>
          <w:shd w:val="clear" w:fill="eeee80"/>
        </w:rPr>
        <w:t xml:space="preserve"> وإنما هي ثقافة في المجتمع يجب على الجميع الاشتراك في حلها،</w:t>
      </w:r>
    </w:p>
    <w:p>
      <w:pPr/>
      <w:r>
        <w:rPr>
          <w:shd w:val="clear" w:fill="eeee80"/>
        </w:rPr>
        <w:t xml:space="preserve"> والبنوك الإسلامية تمتنع عن تمويل أي سلع استهلاكية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2026-10-19T13:23:49+00:00</dcterms:created>
  <dcterms:modified xsi:type="dcterms:W3CDTF">2026-10-19T13:23:49+00:00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