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دراسة حالة شركة نستله أن التدريب والتطوير يشكلان جزءًا أساسياً من استراتيجيتها في تحقيق النجاح والمحافظة على مكانتها العالمية.  فقد ساعد الاستثمار في تنمية مهارات الموظفين على رفع الكفاءة التشغيلية وتحسين جودة المنتجات،  كما أسهمت البرامج التدريبية في تطوير قادة مؤهلين ودعم ثقافة الابتكار داخل الشركة.  ومن خلال تعزيز قدرات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